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42347B">
      <w:pPr>
        <w:pStyle w:val="4"/>
        <w:ind w:firstLine="562"/>
        <w:jc w:val="center"/>
      </w:pPr>
      <w:bookmarkStart w:id="0" w:name="_Toc7885"/>
      <w:bookmarkStart w:id="1" w:name="_Toc20817"/>
      <w:r>
        <w:rPr>
          <w:rFonts w:hint="eastAsia"/>
        </w:rPr>
        <w:t>培训考核</w:t>
      </w:r>
      <w:bookmarkEnd w:id="0"/>
      <w:bookmarkEnd w:id="1"/>
    </w:p>
    <w:p w14:paraId="7EE69983">
      <w:pPr>
        <w:spacing w:line="360" w:lineRule="auto"/>
        <w:ind w:firstLine="640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以推动应用为导向，将过程性评价和终结性评价相结合，平台自动评价和人工评价相结合，及时反馈评价信息，确保教师学用结合。</w:t>
      </w:r>
      <w:bookmarkStart w:id="3" w:name="_GoBack"/>
      <w:bookmarkEnd w:id="3"/>
    </w:p>
    <w:p w14:paraId="0E803672">
      <w:pPr>
        <w:spacing w:line="360" w:lineRule="auto"/>
        <w:ind w:firstLine="560" w:firstLineChars="200"/>
        <w:rPr>
          <w:rFonts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参训教师远程培训</w:t>
      </w:r>
      <w:r>
        <w:rPr>
          <w:rFonts w:hint="eastAsia" w:asciiTheme="minorEastAsia" w:hAnsiTheme="minorEastAsia"/>
          <w:sz w:val="28"/>
          <w:szCs w:val="28"/>
        </w:rPr>
        <w:t>具体考核内容见下表：</w:t>
      </w:r>
    </w:p>
    <w:tbl>
      <w:tblPr>
        <w:tblStyle w:val="11"/>
        <w:tblW w:w="94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0"/>
        <w:gridCol w:w="1540"/>
        <w:gridCol w:w="2544"/>
        <w:gridCol w:w="1024"/>
        <w:gridCol w:w="3200"/>
      </w:tblGrid>
      <w:tr w14:paraId="219CF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  <w:jc w:val="center"/>
        </w:trPr>
        <w:tc>
          <w:tcPr>
            <w:tcW w:w="1130" w:type="dxa"/>
            <w:tcBorders>
              <w:tl2br w:val="nil"/>
              <w:tr2bl w:val="nil"/>
            </w:tcBorders>
            <w:shd w:val="clear" w:color="auto" w:fill="F2BA02" w:themeFill="accent3"/>
            <w:vAlign w:val="center"/>
          </w:tcPr>
          <w:p w14:paraId="218A648E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  <w:t>考核</w:t>
            </w:r>
          </w:p>
          <w:p w14:paraId="38F80DB2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  <w:t>类别</w:t>
            </w:r>
          </w:p>
        </w:tc>
        <w:tc>
          <w:tcPr>
            <w:tcW w:w="1540" w:type="dxa"/>
            <w:tcBorders>
              <w:tl2br w:val="nil"/>
              <w:tr2bl w:val="nil"/>
            </w:tcBorders>
            <w:shd w:val="clear" w:color="auto" w:fill="F2BA02" w:themeFill="accent3"/>
            <w:vAlign w:val="center"/>
          </w:tcPr>
          <w:p w14:paraId="37CA54B4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  <w:t>考核</w:t>
            </w:r>
          </w:p>
          <w:p w14:paraId="22326CA3"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b w:val="0"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  <w:t>项目</w:t>
            </w:r>
          </w:p>
        </w:tc>
        <w:tc>
          <w:tcPr>
            <w:tcW w:w="2544" w:type="dxa"/>
            <w:tcBorders>
              <w:tl2br w:val="nil"/>
              <w:tr2bl w:val="nil"/>
            </w:tcBorders>
            <w:shd w:val="clear" w:color="auto" w:fill="F2BA02" w:themeFill="accent3"/>
            <w:vAlign w:val="center"/>
          </w:tcPr>
          <w:p w14:paraId="2A9F1290"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b w:val="0"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  <w:t>考核内容</w:t>
            </w:r>
          </w:p>
        </w:tc>
        <w:tc>
          <w:tcPr>
            <w:tcW w:w="1024" w:type="dxa"/>
            <w:tcBorders>
              <w:tl2br w:val="nil"/>
              <w:tr2bl w:val="nil"/>
            </w:tcBorders>
            <w:shd w:val="clear" w:color="auto" w:fill="F2BA02" w:themeFill="accent3"/>
            <w:vAlign w:val="center"/>
          </w:tcPr>
          <w:p w14:paraId="2DCD68E3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 w:eastAsia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  <w:t>分值</w:t>
            </w: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占比</w:t>
            </w:r>
          </w:p>
        </w:tc>
        <w:tc>
          <w:tcPr>
            <w:tcW w:w="3200" w:type="dxa"/>
            <w:tcBorders>
              <w:tl2br w:val="nil"/>
              <w:tr2bl w:val="nil"/>
            </w:tcBorders>
            <w:shd w:val="clear" w:color="auto" w:fill="F2BA02" w:themeFill="accent3"/>
            <w:vAlign w:val="center"/>
          </w:tcPr>
          <w:p w14:paraId="145CB0F4"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b w:val="0"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  <w:t>备注</w:t>
            </w:r>
          </w:p>
        </w:tc>
      </w:tr>
      <w:tr w14:paraId="68EE9F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2" w:hRule="atLeast"/>
          <w:jc w:val="center"/>
        </w:trPr>
        <w:tc>
          <w:tcPr>
            <w:tcW w:w="1130" w:type="dxa"/>
            <w:vMerge w:val="restart"/>
            <w:tcBorders>
              <w:tl2br w:val="nil"/>
              <w:tr2bl w:val="nil"/>
            </w:tcBorders>
            <w:shd w:val="clear" w:color="auto" w:fill="F2BA02" w:themeFill="accent3"/>
            <w:vAlign w:val="center"/>
          </w:tcPr>
          <w:p w14:paraId="147A18AD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/>
                <w:b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过程性评价</w:t>
            </w:r>
          </w:p>
        </w:tc>
        <w:tc>
          <w:tcPr>
            <w:tcW w:w="1540" w:type="dxa"/>
            <w:tcBorders>
              <w:tl2br w:val="nil"/>
              <w:tr2bl w:val="nil"/>
            </w:tcBorders>
            <w:shd w:val="clear" w:color="auto" w:fill="F2BA02" w:themeFill="accent3"/>
            <w:vAlign w:val="center"/>
          </w:tcPr>
          <w:p w14:paraId="63E7E8BF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  <w:t>课程</w:t>
            </w:r>
          </w:p>
          <w:p w14:paraId="38305E4A">
            <w:pPr>
              <w:widowControl/>
              <w:adjustRightInd w:val="0"/>
              <w:snapToGrid w:val="0"/>
              <w:jc w:val="center"/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</w:rPr>
              <w:t>学习</w:t>
            </w:r>
          </w:p>
        </w:tc>
        <w:tc>
          <w:tcPr>
            <w:tcW w:w="2544" w:type="dxa"/>
            <w:tcBorders>
              <w:tl2br w:val="nil"/>
              <w:tr2bl w:val="nil"/>
            </w:tcBorders>
            <w:shd w:val="clear" w:color="auto" w:fill="FFFFFF" w:themeFill="background1"/>
            <w:vAlign w:val="center"/>
          </w:tcPr>
          <w:p w14:paraId="2E997E46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自主选学，观看视频课程、阅读课程文本资料。</w:t>
            </w:r>
          </w:p>
        </w:tc>
        <w:tc>
          <w:tcPr>
            <w:tcW w:w="1024" w:type="dxa"/>
            <w:tcBorders>
              <w:tl2br w:val="nil"/>
              <w:tr2bl w:val="nil"/>
            </w:tcBorders>
            <w:shd w:val="clear" w:color="auto" w:fill="FFFFFF" w:themeFill="background1"/>
            <w:vAlign w:val="center"/>
          </w:tcPr>
          <w:p w14:paraId="5FAAF049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40%</w:t>
            </w:r>
          </w:p>
        </w:tc>
        <w:tc>
          <w:tcPr>
            <w:tcW w:w="3200" w:type="dxa"/>
            <w:tcBorders>
              <w:tl2br w:val="nil"/>
              <w:tr2bl w:val="nil"/>
            </w:tcBorders>
            <w:shd w:val="clear" w:color="auto" w:fill="FFFFFF" w:themeFill="background1"/>
            <w:vAlign w:val="center"/>
          </w:tcPr>
          <w:p w14:paraId="5D7EEF7F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必做项，至少完成1200分钟。</w:t>
            </w:r>
          </w:p>
        </w:tc>
      </w:tr>
      <w:tr w14:paraId="181674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7" w:hRule="atLeast"/>
          <w:jc w:val="center"/>
        </w:trPr>
        <w:tc>
          <w:tcPr>
            <w:tcW w:w="1130" w:type="dxa"/>
            <w:vMerge w:val="continue"/>
            <w:tcBorders>
              <w:insideV w:val="single" w:sz="4" w:space="0"/>
              <w:tl2br w:val="nil"/>
              <w:tr2bl w:val="nil"/>
            </w:tcBorders>
            <w:shd w:val="clear" w:color="auto" w:fill="F2BA02" w:themeFill="accent3"/>
            <w:vAlign w:val="center"/>
          </w:tcPr>
          <w:p w14:paraId="53C1FB68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40" w:type="dxa"/>
            <w:tcBorders>
              <w:insideV w:val="single" w:sz="4" w:space="0"/>
              <w:tl2br w:val="nil"/>
              <w:tr2bl w:val="nil"/>
            </w:tcBorders>
            <w:shd w:val="clear" w:color="auto" w:fill="F2BA02" w:themeFill="accent3"/>
            <w:vAlign w:val="center"/>
          </w:tcPr>
          <w:p w14:paraId="4B981169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工作坊</w:t>
            </w:r>
          </w:p>
          <w:p w14:paraId="15818740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主题</w:t>
            </w:r>
          </w:p>
          <w:p w14:paraId="73D6B5BD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 w:eastAsiaTheme="minorEastAsia"/>
                <w:b/>
                <w:bCs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研讨</w:t>
            </w:r>
          </w:p>
        </w:tc>
        <w:tc>
          <w:tcPr>
            <w:tcW w:w="2544" w:type="dxa"/>
            <w:tcBorders>
              <w:tl2br w:val="nil"/>
              <w:tr2bl w:val="nil"/>
            </w:tcBorders>
            <w:shd w:val="clear" w:color="auto" w:fill="FFFFFF" w:themeFill="background1"/>
            <w:vAlign w:val="center"/>
          </w:tcPr>
          <w:p w14:paraId="5E9EA73B">
            <w:pPr>
              <w:widowControl/>
              <w:adjustRightInd w:val="0"/>
              <w:snapToGrid w:val="0"/>
              <w:jc w:val="center"/>
              <w:rPr>
                <w:rFonts w:hint="default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按要求在工作坊内参与在线主题研讨</w:t>
            </w:r>
          </w:p>
        </w:tc>
        <w:tc>
          <w:tcPr>
            <w:tcW w:w="1024" w:type="dxa"/>
            <w:tcBorders>
              <w:tl2br w:val="nil"/>
              <w:tr2bl w:val="nil"/>
            </w:tcBorders>
            <w:shd w:val="clear" w:color="auto" w:fill="FFFFFF" w:themeFill="background1"/>
            <w:vAlign w:val="center"/>
          </w:tcPr>
          <w:p w14:paraId="6DB5AE7E">
            <w:pPr>
              <w:widowControl/>
              <w:adjustRightInd w:val="0"/>
              <w:snapToGrid w:val="0"/>
              <w:jc w:val="center"/>
              <w:rPr>
                <w:rFonts w:hint="default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20%</w:t>
            </w:r>
          </w:p>
        </w:tc>
        <w:tc>
          <w:tcPr>
            <w:tcW w:w="32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A5A325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必做项，回帖不少于两次，研讨内容需符合网络安全要求。</w:t>
            </w:r>
          </w:p>
        </w:tc>
      </w:tr>
      <w:tr w14:paraId="6A278B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7" w:hRule="atLeast"/>
          <w:jc w:val="center"/>
        </w:trPr>
        <w:tc>
          <w:tcPr>
            <w:tcW w:w="1130" w:type="dxa"/>
            <w:vMerge w:val="restart"/>
            <w:tcBorders>
              <w:insideV w:val="single" w:sz="4" w:space="0"/>
              <w:tl2br w:val="nil"/>
              <w:tr2bl w:val="nil"/>
            </w:tcBorders>
            <w:shd w:val="clear" w:color="auto" w:fill="F2BA02" w:themeFill="accent3"/>
            <w:vAlign w:val="center"/>
          </w:tcPr>
          <w:p w14:paraId="466A11CC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b/>
                <w:bCs/>
                <w:color w:val="000000" w:themeColor="text1"/>
                <w:kern w:val="0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bookmarkStart w:id="2" w:name="_Toc18057"/>
            <w:r>
              <w:rPr>
                <w:rFonts w:hint="eastAsia" w:asciiTheme="minorEastAsia" w:hAnsiTheme="minorEastAsia"/>
                <w:b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终结性评价</w:t>
            </w:r>
          </w:p>
        </w:tc>
        <w:tc>
          <w:tcPr>
            <w:tcW w:w="1540" w:type="dxa"/>
            <w:tcBorders>
              <w:insideV w:val="single" w:sz="4" w:space="0"/>
              <w:tl2br w:val="nil"/>
              <w:tr2bl w:val="nil"/>
            </w:tcBorders>
            <w:shd w:val="clear" w:color="auto" w:fill="F2BA02" w:themeFill="accent3"/>
            <w:vAlign w:val="center"/>
          </w:tcPr>
          <w:p w14:paraId="6AFA7F08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研修</w:t>
            </w:r>
          </w:p>
          <w:p w14:paraId="4B55906E">
            <w:pPr>
              <w:widowControl/>
              <w:adjustRightInd w:val="0"/>
              <w:snapToGrid w:val="0"/>
              <w:jc w:val="center"/>
              <w:rPr>
                <w:rFonts w:hint="default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作业</w:t>
            </w:r>
          </w:p>
        </w:tc>
        <w:tc>
          <w:tcPr>
            <w:tcW w:w="2544" w:type="dxa"/>
            <w:tcBorders>
              <w:tl2br w:val="nil"/>
              <w:tr2bl w:val="nil"/>
            </w:tcBorders>
            <w:shd w:val="clear" w:color="auto" w:fill="FFFFFF" w:themeFill="background1"/>
            <w:vAlign w:val="center"/>
          </w:tcPr>
          <w:p w14:paraId="5FB1AD0E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完成1份研修心得</w:t>
            </w:r>
          </w:p>
        </w:tc>
        <w:tc>
          <w:tcPr>
            <w:tcW w:w="1024" w:type="dxa"/>
            <w:tcBorders>
              <w:tl2br w:val="nil"/>
              <w:tr2bl w:val="nil"/>
            </w:tcBorders>
            <w:shd w:val="clear" w:color="auto" w:fill="FFFFFF" w:themeFill="background1"/>
            <w:vAlign w:val="center"/>
          </w:tcPr>
          <w:p w14:paraId="26D61D78">
            <w:pPr>
              <w:widowControl/>
              <w:adjustRightInd w:val="0"/>
              <w:snapToGrid w:val="0"/>
              <w:jc w:val="center"/>
              <w:rPr>
                <w:rFonts w:hint="default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20%</w:t>
            </w:r>
          </w:p>
        </w:tc>
        <w:tc>
          <w:tcPr>
            <w:tcW w:w="32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372F0B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必做项，按照要求提交研修总结，班辅批阅。</w:t>
            </w:r>
          </w:p>
        </w:tc>
      </w:tr>
      <w:tr w14:paraId="374CF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7" w:hRule="atLeast"/>
          <w:jc w:val="center"/>
        </w:trPr>
        <w:tc>
          <w:tcPr>
            <w:tcW w:w="1130" w:type="dxa"/>
            <w:vMerge w:val="continue"/>
            <w:tcBorders>
              <w:insideV w:val="single" w:sz="4" w:space="0"/>
              <w:tl2br w:val="nil"/>
              <w:tr2bl w:val="nil"/>
            </w:tcBorders>
            <w:shd w:val="clear" w:color="auto" w:fill="F2BA02" w:themeFill="accent3"/>
            <w:vAlign w:val="center"/>
          </w:tcPr>
          <w:p w14:paraId="54370E47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540" w:type="dxa"/>
            <w:tcBorders>
              <w:insideV w:val="single" w:sz="4" w:space="0"/>
              <w:tl2br w:val="nil"/>
              <w:tr2bl w:val="nil"/>
            </w:tcBorders>
            <w:shd w:val="clear" w:color="auto" w:fill="F2BA02" w:themeFill="accent3"/>
            <w:vAlign w:val="center"/>
          </w:tcPr>
          <w:p w14:paraId="1E811569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在线</w:t>
            </w:r>
          </w:p>
          <w:p w14:paraId="74FF88EF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 w:eastAsiaTheme="minorEastAsia"/>
                <w:b/>
                <w:bCs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cs="宋体" w:asciiTheme="minorEastAsia" w:hAnsiTheme="minorEastAsia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测试</w:t>
            </w:r>
          </w:p>
        </w:tc>
        <w:tc>
          <w:tcPr>
            <w:tcW w:w="2544" w:type="dxa"/>
            <w:tcBorders>
              <w:tl2br w:val="nil"/>
              <w:tr2bl w:val="nil"/>
            </w:tcBorders>
            <w:shd w:val="clear" w:color="auto" w:fill="FFFFFF" w:themeFill="background1"/>
            <w:vAlign w:val="center"/>
          </w:tcPr>
          <w:p w14:paraId="793AC5EC">
            <w:pPr>
              <w:widowControl/>
              <w:adjustRightInd w:val="0"/>
              <w:snapToGrid w:val="0"/>
              <w:jc w:val="center"/>
              <w:rPr>
                <w:rFonts w:hint="default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参与在线测试（师德师风+心理健康）</w:t>
            </w:r>
          </w:p>
        </w:tc>
        <w:tc>
          <w:tcPr>
            <w:tcW w:w="1024" w:type="dxa"/>
            <w:tcBorders>
              <w:tl2br w:val="nil"/>
              <w:tr2bl w:val="nil"/>
            </w:tcBorders>
            <w:shd w:val="clear" w:color="auto" w:fill="FFFFFF" w:themeFill="background1"/>
            <w:vAlign w:val="center"/>
          </w:tcPr>
          <w:p w14:paraId="52D91BA3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20%</w:t>
            </w:r>
          </w:p>
        </w:tc>
        <w:tc>
          <w:tcPr>
            <w:tcW w:w="3200" w:type="dxa"/>
            <w:tcBorders>
              <w:tl2br w:val="nil"/>
              <w:tr2bl w:val="nil"/>
            </w:tcBorders>
            <w:shd w:val="clear" w:color="auto" w:fill="FFFFFF" w:themeFill="background1"/>
            <w:vAlign w:val="center"/>
          </w:tcPr>
          <w:p w14:paraId="40EF307C">
            <w:pPr>
              <w:widowControl/>
              <w:adjustRightInd w:val="0"/>
              <w:snapToGrid w:val="0"/>
              <w:jc w:val="center"/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必做项，测试分数达到80分方可通过测试。可多次作答，点击查看答案后锁定成绩。</w:t>
            </w:r>
          </w:p>
        </w:tc>
      </w:tr>
    </w:tbl>
    <w:p w14:paraId="324AC4C3">
      <w:pPr>
        <w:spacing w:line="360" w:lineRule="auto"/>
        <w:ind w:firstLine="560" w:firstLineChars="200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以上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4</w:t>
      </w:r>
      <w:r>
        <w:rPr>
          <w:rFonts w:hint="eastAsia" w:asciiTheme="minorEastAsia" w:hAnsiTheme="minorEastAsia"/>
          <w:sz w:val="28"/>
          <w:szCs w:val="28"/>
        </w:rPr>
        <w:t>个考核项</w:t>
      </w:r>
      <w:r>
        <w:rPr>
          <w:rFonts w:hint="eastAsia" w:asciiTheme="minorEastAsia" w:hAnsiTheme="minorEastAsia"/>
          <w:b/>
          <w:bCs/>
          <w:color w:val="FF0000"/>
          <w:sz w:val="28"/>
          <w:szCs w:val="28"/>
        </w:rPr>
        <w:t>均合格</w:t>
      </w:r>
      <w:r>
        <w:rPr>
          <w:rFonts w:hint="eastAsia" w:asciiTheme="minorEastAsia" w:hAnsiTheme="minorEastAsia"/>
          <w:sz w:val="28"/>
          <w:szCs w:val="28"/>
        </w:rPr>
        <w:t>方可获得结业证书。</w:t>
      </w:r>
    </w:p>
    <w:p w14:paraId="3196804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right="0" w:rightChars="0" w:firstLine="560" w:firstLineChars="200"/>
        <w:jc w:val="left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eastAsia="zh-CN"/>
        </w:rPr>
        <w:t>（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一</w:t>
      </w:r>
      <w:r>
        <w:rPr>
          <w:rFonts w:hint="eastAsia" w:asciiTheme="minorEastAsia" w:hAnsiTheme="minorEastAsia"/>
          <w:sz w:val="28"/>
          <w:szCs w:val="28"/>
          <w:lang w:eastAsia="zh-CN"/>
        </w:rPr>
        <w:t>）</w:t>
      </w:r>
      <w:r>
        <w:rPr>
          <w:rFonts w:hint="eastAsia" w:asciiTheme="minorEastAsia" w:hAnsiTheme="minorEastAsia"/>
          <w:sz w:val="28"/>
          <w:szCs w:val="28"/>
        </w:rPr>
        <w:t>工作坊主题研讨</w:t>
      </w:r>
    </w:p>
    <w:p w14:paraId="658159F7">
      <w:pPr>
        <w:pStyle w:val="2"/>
        <w:ind w:firstLine="562" w:firstLineChars="200"/>
        <w:rPr>
          <w:rFonts w:hint="eastAsia" w:asciiTheme="minorEastAsia" w:hAnsiTheme="minorEastAsia" w:eastAsiaTheme="minorEastAsia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asciiTheme="minorEastAsia" w:hAnsiTheme="minorEastAsia" w:cstheme="minorBidi"/>
          <w:b/>
          <w:bCs/>
          <w:kern w:val="2"/>
          <w:sz w:val="28"/>
          <w:szCs w:val="28"/>
          <w:lang w:val="en-US" w:eastAsia="zh-CN" w:bidi="ar-SA"/>
        </w:rPr>
        <w:t>研讨目标</w:t>
      </w:r>
      <w:r>
        <w:rPr>
          <w:rFonts w:hint="eastAsia" w:asciiTheme="minorEastAsia" w:hAnsiTheme="minorEastAsia" w:cstheme="minorBidi"/>
          <w:kern w:val="2"/>
          <w:sz w:val="28"/>
          <w:szCs w:val="28"/>
          <w:lang w:val="en-US" w:eastAsia="zh-CN" w:bidi="ar-SA"/>
        </w:rPr>
        <w:t>：</w:t>
      </w:r>
      <w:r>
        <w:rPr>
          <w:rFonts w:hint="eastAsia" w:asciiTheme="minorEastAsia" w:hAnsiTheme="minorEastAsia" w:eastAsiaTheme="minorEastAsia" w:cstheme="minorBidi"/>
          <w:kern w:val="2"/>
          <w:sz w:val="28"/>
          <w:szCs w:val="28"/>
          <w:lang w:val="en-US" w:eastAsia="zh-CN" w:bidi="ar-SA"/>
        </w:rPr>
        <w:t>深化教师对师德师风内涵的理解，强化立德树人责任意识。</w:t>
      </w:r>
    </w:p>
    <w:p w14:paraId="0BCBA0F8">
      <w:pPr>
        <w:pStyle w:val="2"/>
        <w:rPr>
          <w:rFonts w:hint="eastAsia" w:asciiTheme="minorEastAsia" w:hAnsiTheme="minorEastAsia" w:eastAsiaTheme="minorEastAsia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asciiTheme="minorEastAsia" w:hAnsiTheme="minorEastAsia" w:eastAsiaTheme="minorEastAsia" w:cstheme="minorBidi"/>
          <w:kern w:val="2"/>
          <w:sz w:val="28"/>
          <w:szCs w:val="28"/>
          <w:lang w:val="en-US" w:eastAsia="zh-CN" w:bidi="ar-SA"/>
        </w:rPr>
        <w:t>引导教师关注自身心理健康，掌握基本情绪调适与压力管理方法。推动师德建设与心理关怀有机融合，提升教师育人能力与职业幸福感。</w:t>
      </w:r>
    </w:p>
    <w:p w14:paraId="6C29B36E">
      <w:pPr>
        <w:spacing w:line="360" w:lineRule="auto"/>
        <w:ind w:firstLine="562" w:firstLineChars="200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b/>
          <w:bCs/>
          <w:sz w:val="28"/>
          <w:szCs w:val="28"/>
          <w:lang w:val="en-US" w:eastAsia="zh-CN"/>
        </w:rPr>
        <w:t>研讨内容：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师德师风是教育工作者的立身之本，心理健康是教师履职的内在基石。在日常教学与育人工作中，我们既要坚守师德底线、涵养高尚师风，用心关爱每一位学生，也要关注自身情绪状态、守护心理健康，以积极平和的心态面对工作与生活。</w:t>
      </w:r>
    </w:p>
    <w:p w14:paraId="6ADC5E43">
      <w:pPr>
        <w:spacing w:line="360" w:lineRule="auto"/>
        <w:ind w:firstLine="420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在线学习之余，想和大家共同探讨：</w:t>
      </w:r>
    </w:p>
    <w:p w14:paraId="302BBD29">
      <w:pPr>
        <w:spacing w:line="360" w:lineRule="auto"/>
        <w:ind w:firstLine="420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1.</w:t>
      </w:r>
      <w:r>
        <w:rPr>
          <w:rFonts w:hint="eastAsia" w:asciiTheme="minorEastAsia" w:hAnsiTheme="minorEastAsia"/>
          <w:sz w:val="28"/>
          <w:szCs w:val="28"/>
        </w:rPr>
        <w:t>在日常教育教学中，如何将师德要求融入细节，用尊重与包容呵护学生成长？</w:t>
      </w:r>
    </w:p>
    <w:p w14:paraId="31576C8E">
      <w:pPr>
        <w:spacing w:line="360" w:lineRule="auto"/>
        <w:ind w:firstLine="420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2.</w:t>
      </w:r>
      <w:r>
        <w:rPr>
          <w:rFonts w:hint="eastAsia" w:asciiTheme="minorEastAsia" w:hAnsiTheme="minorEastAsia"/>
          <w:sz w:val="28"/>
          <w:szCs w:val="28"/>
        </w:rPr>
        <w:t>面对工作压力、情绪困扰时，您有哪些实用的自我调节与心理调适方法？</w:t>
      </w:r>
    </w:p>
    <w:p w14:paraId="1C88F2B6">
      <w:pPr>
        <w:spacing w:line="360" w:lineRule="auto"/>
        <w:ind w:firstLine="420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3.</w:t>
      </w:r>
      <w:r>
        <w:rPr>
          <w:rFonts w:hint="eastAsia" w:asciiTheme="minorEastAsia" w:hAnsiTheme="minorEastAsia"/>
          <w:sz w:val="28"/>
          <w:szCs w:val="28"/>
        </w:rPr>
        <w:t>怎样平衡教育责任与个人身心状态，做到既立德树人，又悦纳自我？</w:t>
      </w:r>
    </w:p>
    <w:p w14:paraId="1E7B4707">
      <w:pPr>
        <w:spacing w:line="360" w:lineRule="auto"/>
        <w:ind w:firstLine="420"/>
        <w:rPr>
          <w:rFonts w:hint="eastAsia" w:asciiTheme="minorEastAsia" w:hAnsiTheme="minorEastAsia"/>
          <w:sz w:val="28"/>
          <w:szCs w:val="28"/>
          <w:lang w:eastAsia="zh-CN"/>
        </w:rPr>
      </w:pPr>
      <w:r>
        <w:rPr>
          <w:rFonts w:hint="eastAsia" w:asciiTheme="minorEastAsia" w:hAnsiTheme="minorEastAsia"/>
          <w:sz w:val="28"/>
          <w:szCs w:val="28"/>
          <w:lang w:val="en-US" w:eastAsia="zh-CN"/>
        </w:rPr>
        <w:t>期待各位老师结合自身工作实际，分享经验、交流感悟，让我们以德立身、以心育人，共同成长为更专业、更幸福的教育工作者！</w:t>
      </w:r>
    </w:p>
    <w:p w14:paraId="2178F1E2">
      <w:pPr>
        <w:spacing w:line="360" w:lineRule="auto"/>
        <w:ind w:firstLine="420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  <w:lang w:eastAsia="zh-CN"/>
        </w:rPr>
        <w:t>（</w:t>
      </w:r>
      <w:r>
        <w:rPr>
          <w:rFonts w:hint="eastAsia" w:asciiTheme="minorEastAsia" w:hAnsiTheme="minorEastAsia"/>
          <w:sz w:val="28"/>
          <w:szCs w:val="28"/>
          <w:lang w:val="en-US" w:eastAsia="zh-CN"/>
        </w:rPr>
        <w:t>二</w:t>
      </w:r>
      <w:r>
        <w:rPr>
          <w:rFonts w:hint="eastAsia" w:asciiTheme="minorEastAsia" w:hAnsiTheme="minorEastAsia"/>
          <w:sz w:val="28"/>
          <w:szCs w:val="28"/>
          <w:lang w:eastAsia="zh-CN"/>
        </w:rPr>
        <w:t>）</w:t>
      </w:r>
      <w:r>
        <w:rPr>
          <w:rFonts w:hint="eastAsia" w:asciiTheme="minorEastAsia" w:hAnsiTheme="minorEastAsia"/>
          <w:sz w:val="28"/>
          <w:szCs w:val="28"/>
        </w:rPr>
        <w:t>研修作业</w:t>
      </w:r>
    </w:p>
    <w:p w14:paraId="37E4398D">
      <w:pPr>
        <w:spacing w:line="360" w:lineRule="auto"/>
        <w:ind w:firstLine="420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以下三种作业，任选其一完成上传：</w:t>
      </w:r>
    </w:p>
    <w:p w14:paraId="4980B6E1">
      <w:pPr>
        <w:spacing w:line="360" w:lineRule="auto"/>
        <w:ind w:firstLine="420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作业一：开展一节本学科示范课，录制一段教学课例视频片段（时间不超过10分钟，小于400M）。</w:t>
      </w:r>
    </w:p>
    <w:p w14:paraId="69F4BBB7">
      <w:pPr>
        <w:spacing w:line="360" w:lineRule="auto"/>
        <w:ind w:firstLine="420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作业二：将大单元教学理念融合进课堂教学，提交一份基于大单元教学理念的教学设计。</w:t>
      </w:r>
    </w:p>
    <w:p w14:paraId="6CD23D7C">
      <w:pPr>
        <w:spacing w:line="360" w:lineRule="auto"/>
        <w:ind w:firstLine="420"/>
        <w:rPr>
          <w:rFonts w:hint="eastAsia" w:asciiTheme="minorEastAsia" w:hAnsiTheme="minorEastAsia"/>
          <w:sz w:val="28"/>
          <w:szCs w:val="28"/>
        </w:rPr>
      </w:pPr>
      <w:r>
        <w:rPr>
          <w:rFonts w:hint="eastAsia" w:asciiTheme="minorEastAsia" w:hAnsiTheme="minorEastAsia"/>
          <w:sz w:val="28"/>
          <w:szCs w:val="28"/>
        </w:rPr>
        <w:t>作业三：结合网络研修学习内容，反思日常教学行为，撰写一篇网络研修学习心得体会。</w:t>
      </w:r>
    </w:p>
    <w:bookmarkEnd w:id="2"/>
    <w:p w14:paraId="4DE79B7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F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E22516"/>
    <w:rsid w:val="7EE22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5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6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  <w:style w:type="paragraph" w:styleId="7">
    <w:name w:val="Normal (Web)"/>
    <w:basedOn w:val="1"/>
    <w:uiPriority w:val="0"/>
    <w:rPr>
      <w:sz w:val="24"/>
    </w:rPr>
  </w:style>
  <w:style w:type="character" w:styleId="10">
    <w:name w:val="Strong"/>
    <w:basedOn w:val="9"/>
    <w:qFormat/>
    <w:uiPriority w:val="0"/>
    <w:rPr>
      <w:b/>
    </w:rPr>
  </w:style>
  <w:style w:type="table" w:customStyle="1" w:styleId="11">
    <w:name w:val="List Table 5 Dark Accent 3"/>
    <w:basedOn w:val="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F2BA02" w:themeColor="accent3" w:sz="24" w:space="0"/>
        <w:left w:val="single" w:color="F2BA02" w:themeColor="accent3" w:sz="24" w:space="0"/>
        <w:bottom w:val="single" w:color="F2BA02" w:themeColor="accent3" w:sz="24" w:space="0"/>
        <w:right w:val="single" w:color="F2BA02" w:themeColor="accent3" w:sz="24" w:space="0"/>
      </w:tblBorders>
    </w:tblPr>
    <w:tcPr>
      <w:shd w:val="clear" w:color="auto" w:fill="F2BA02" w:themeFill="accent3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2026-04-28T02:39:00Z</dcterms:created>
  <dc:creator>溏心软饼</dc:creator>
  <cp:lastModifiedBy>溏心软饼</cp:lastModifiedBy>
  <dcterms:modified xsi:type="dcterms:W3CDTF">2026-04-28T07:34:14Z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7458C181D4084A1288804AA6DAF20AE3_11</vt:lpwstr>
  </property>
  <property fmtid="{D5CDD505-2E9C-101B-9397-08002B2CF9AE}" pid="4" name="KSOTemplateDocerSaveRecord">
    <vt:lpwstr>eyJoZGlkIjoiZDlkNjk2MjY3NGRmNTkwYzJiMDIyYjJkMmFhZTdhNWEiLCJ1c2VySWQiOiI3MjI5ODE1NjgifQ==</vt:lpwstr>
  </property>
</Properties>
</file>